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9878345ed4cc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18725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OBRTNIČKA ŠKOLA GOJKA MATULINE ZADAR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824.901,10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890.100,70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818.393,79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964.475,28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74.374,58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1.335,87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1.438,20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75.812,78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01.01.-31.12.2025.godine prihodi poslovanja ostvareni su u iznosu od 890.100,70 EUR-a.Povećanje se odnosi na prihode nadležnog proračuna,povećanje materijalnih rashoda potrebnih za redovno poslovanje škole. U istom periodu zabilježen je značajan rast ukupnih rashoda poslovanja što je posljedica ukidanja konta skupine 193 kontinuirani rashodi poslovanja zbog čega su plaće,materijalna prava i redovni režijski troškovi izravno evidentirani na rashodima u trenutku nastanka. Od 01.01.-31.12.2025.zabilježen je manjak prihoda od 75.812,78 EUR-a ,a koji je rezultat ukidanja aktivnih vremenskih razgraničenja sukladno novom Pravilniku o proračunskom računovodstvu i računskom pravu (NN158/23).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726.228,32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788.359,03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Stanje na dan 31.12.2025.iznosi 788.359,03 EUR-a što je za 62,130,71 Eur-a više u odnosu na isto razdoblje prethodne godine.Obuhvaća prihode državnog proračuna za isplatu plaća i materijalnih prava, prihode državnog proračuna uplaćene u nadležan proračun za nabavu zaliha higijenskih potrepština, knjiga za potrebe knjižnice, isplate dnevnica za maturalno putovanje učenici iz ratom pogođene Ukrajine.</w:t>
      </w:r>
    </w:p>
    <w:p>
      <w:r>
        <w:t xml:space="preserve">Razlika je nastala zbog rasta plaća i povećanih isplata materijalnih prava u 2025.godini, nabave besplatnih higijenskih potrepština i knjiga za potrebe knjižnice.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8.648,69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6,5</w:t>
            </w:r>
          </w:p>
        </w:tc>
      </w:tr>
    </w:tbl>
    <w:p>
      <w:pPr>
        <w:spacing w:before="0" w:after="0"/>
      </w:pPr>
    </w:p>
    <w:p>
      <w:r>
        <w:t xml:space="preserve">Stanje na dan 31.12.2025.iznosi 560,00 EUR-a  što je za 8.088,69 Eur-a manje u odnosu na isto razdoblje prethodne godine.</w:t>
      </w:r>
    </w:p>
    <w:p>
      <w:r>
        <w:t xml:space="preserve">U 2025.godini uprihodovali smo 560,00 EUR-a ostvarenih od izrade duplikata svjedodžbi za bivše učenike škole,dok smo u 2024.godini ostvarili veći prihod posebne namjene zbog naknade štete nastale uslijed poplave unutar zgrade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5.250,78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182,6</w:t>
            </w:r>
          </w:p>
        </w:tc>
      </w:tr>
    </w:tbl>
    <w:p>
      <w:pPr>
        <w:spacing w:before="0" w:after="0"/>
      </w:pPr>
    </w:p>
    <w:p>
      <w:r>
        <w:t xml:space="preserve">Stanje na dan 31.12.2025.godine iznosi 5.250,78 EUR-a.Sredstva su ostvarena od mjesečnog najma prostora škole u kojem je snacker i aparat za kavu tvrtke Franck d.d.Sredstva se koriste za pokriće rashoda poslovanja za podmirenje dodatnih troškova uz prethodnu suglasnost Školskog odbora temeljem Pravilnika o mjerama i načinu korištenja nenamjenskih donacija i vlastitih prihoda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83.728,43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91.742,07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</w:tbl>
    <w:p>
      <w:pPr>
        <w:spacing w:before="0" w:after="0"/>
      </w:pPr>
    </w:p>
    <w:p>
      <w:r>
        <w:t xml:space="preserve">Stanje na dan 31.12.2025.godine iznosi 91.742,07 EUR-a što je za 8.013,64 EUR-a više u odnosu na 2024.godinu,rashodi nadležnog proračuna su u 2025.godini veći ponajviše zbog poskupljenja režijskih troškova i cijena nabave materijala u navedenom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818.393,79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964.475,28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</w:tbl>
    <w:p>
      <w:pPr>
        <w:spacing w:before="0" w:after="0"/>
      </w:pPr>
    </w:p>
    <w:p>
      <w:r>
        <w:t xml:space="preserve">Obuhvaćaju bruto plaće zaposlenika, doprinose za obvezno zdravstveno osiguranje, ostale rashode za zaposlene-isplatu materijalnih prava te novčane naknade zbog nezapošljavanja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90.850,92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102.893,39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Materijalni rashodi financirani su iz Županijskog proračuna za potrebe redovnog poslovanja.</w:t>
      </w:r>
    </w:p>
    <w:p>
      <w:r>
        <w:t xml:space="preserve">Obuhvaćaju naknade troškova prijevoza zaposlenika na posao i s posla, naknade za službena putovanja,stručno usavršavanje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43.279,18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45.780,70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Obuhvaćaju nabavu potrošnog materijala-materijala za čišćenje i održavanje, za higijenske potrebe i njegu, uredskog materijala, materijala za nastavu i opremanje salona,materijala za održavanje objekta, postrojenja i opreme kao i potrošnju energenata- električne energije i lož ulja.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22.789,82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25.644,08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</w:tbl>
    <w:p>
      <w:pPr>
        <w:spacing w:before="0" w:after="0"/>
      </w:pPr>
    </w:p>
    <w:p>
      <w:r>
        <w:t xml:space="preserve">Odnose se na usluge telefona, pošte i prijevoza, komunalne usluge, intelektualne usluge - autorski honorari, ugovori o djelu,...zakupnine i najamnine , zdravstvene usluge, računalne usluge, ostale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6.363,22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11.619,83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182,6</w:t>
            </w:r>
          </w:p>
        </w:tc>
      </w:tr>
    </w:tbl>
    <w:p>
      <w:pPr>
        <w:spacing w:before="0" w:after="0"/>
      </w:pPr>
    </w:p>
    <w:p>
      <w:r>
        <w:t xml:space="preserve">Obuhvaćaju premije osiguranja, članarine, trošak hrane i pića, pristojbe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4.702,99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7.608,12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161,8</w:t>
            </w:r>
          </w:p>
        </w:tc>
      </w:tr>
    </w:tbl>
    <w:p>
      <w:pPr>
        <w:spacing w:before="0" w:after="0"/>
      </w:pPr>
    </w:p>
    <w:p>
      <w:r>
        <w:t xml:space="preserve">Navedena skupina konta odnosi se na nabavu besplatnih udžbenika učenicima prvih razreda -smjer frizeri čiji je iznos osigurao nadležan proračun </w:t>
      </w:r>
    </w:p>
    <w:p>
      <w:r>
        <w:t xml:space="preserve">prema Odluci o nabavi udžbenika za učenike prvih razreda deficitarnih zanimanja.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Navedeni prihod u iznosu od 998,20 EUR-a namijenjen je za frizerske salone škole ,a odnosi se na nabavu opreme za šišanje.</w:t>
      </w:r>
    </w:p>
    <w:p>
      <w:r>
        <w:t xml:space="preserve">Prihod je ostvaren donacijom Udruženja obrtnika Zadar.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12.450,46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12.890,46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r>
        <w:t xml:space="preserve">Stanje na dan 31.12.2025.godine iznosi 12.890,46 EUR-a što je za 440,00 EUR-a više u odnosu na 2024.godinu.</w:t>
      </w:r>
    </w:p>
    <w:p>
      <w:r>
        <w:t xml:space="preserve">Razlika je nastala zbog nabave knjiga za lektiru financiranih sredstvima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69.775,06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Sukladno članku 160.novog Pravilnika , školske ustanove ostvaruju pomoći od drugog subjekta temeljem zaprimljenog rješenja te su u skladu s tim dužne evidentirati pomoć od subjekta unutar općeg proračuna na kontu skupine 163-potraživanja za pomoći iz proračuna koji im nije nadležan i 963- obračunati prihodi iz proračuna koji im nije nadležan.Navedeno se ne odnosi na pomoći iz nadležnog proračuna-prihode osnivača.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obveza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72.985,63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dan 31.12.2025.iznosi 72.985,63 EUR-a,a odnosi se na plaću, naknadu zbog nezapošljavanja osoba s invaliditetom,režijske troškove te prijevoz za prosinac 2025.godine.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ae05d68fe441eb" /></Relationships>
</file>